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洛阳市城市综合执法局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行政处罚决定书</w:t>
      </w:r>
    </w:p>
    <w:p>
      <w:pPr>
        <w:spacing w:line="580" w:lineRule="exact"/>
        <w:jc w:val="center"/>
        <w:rPr>
          <w:rFonts w:hint="eastAsia" w:ascii="楷体_GB2312" w:hAnsi="仿宋_GB2312" w:eastAsia="楷体_GB2312" w:cs="仿宋_GB2312"/>
          <w:bCs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bCs/>
          <w:sz w:val="30"/>
          <w:szCs w:val="30"/>
          <w:lang w:eastAsia="zh-CN"/>
        </w:rPr>
        <w:t>洛（伊）城罚决字〔2022〕第034号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华耀城（洛阳）实业有限公司  </w:t>
      </w:r>
    </w:p>
    <w:p>
      <w:pPr>
        <w:autoSpaceDE/>
        <w:autoSpaceDN/>
        <w:spacing w:line="57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91410300MA45682C47</w:t>
      </w:r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河南省洛阳市伊滨区伊滨路与司马光路交叉口东北角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经查明,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 xml:space="preserve"> 你单位于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2022年8月31日-9月未竣工验收擅自对华耀城8#地二期一号公寓31-102、1-103、1-302、1-305、1-402、1-502、1-922、1-902共八套房屋进行交房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上述事实，由以下证据证实：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证据一：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现场照片3张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，证明当事人在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华耀城8#地二期一号公寓未竣工验收擅自交付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的场所和情形；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证据二：洛阳市住房和城乡建设局建设工程质量监督科复函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华耀城8#地二期一号公寓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当在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华耀城8#地二期一号公寓31-102、1-103、1-302、1-305、1-402、1-502、1-922、1-902的购房合同证明当事人未竣工验收擅自交付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的事实；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证据三：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调查（询问）笔录，证明当事人对违法事实的供认；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证据四：营业执照及个人身份证复印件，证明当事人的身份认定。</w:t>
      </w:r>
    </w:p>
    <w:p>
      <w:pPr>
        <w:pStyle w:val="2"/>
        <w:spacing w:line="57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2022年12月30日，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本机关依法向你单位下达了《洛阳市城市综合执法局行政处罚事先告知书》（洛（伊）城罚先告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字〔2022〕第034号），告知你单位拟作出行政处罚决定的事实、理由、依据及内容，并告知你单位依法享有的权利。你单位在规定期限内未提出陈述、申辩要求。</w:t>
      </w:r>
    </w:p>
    <w:p>
      <w:pPr>
        <w:autoSpaceDE/>
        <w:autoSpaceDN/>
        <w:spacing w:line="570" w:lineRule="exact"/>
        <w:ind w:firstLine="636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color w:val="000000"/>
          <w:spacing w:val="-1"/>
          <w:sz w:val="32"/>
          <w:szCs w:val="32"/>
          <w:lang w:eastAsia="zh-CN"/>
        </w:rPr>
        <w:t>关认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pacing w:val="-1"/>
          <w:sz w:val="32"/>
          <w:szCs w:val="32"/>
          <w:lang w:eastAsia="zh-CN"/>
        </w:rPr>
        <w:t>，你单位的上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述</w:t>
      </w:r>
      <w:r>
        <w:rPr>
          <w:rFonts w:hint="eastAsia" w:ascii="仿宋_GB2312" w:hAnsi="仿宋_GB2312" w:eastAsia="仿宋_GB2312" w:cs="仿宋_GB2312"/>
          <w:color w:val="000000"/>
          <w:spacing w:val="-1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了《建设工程质量管理条例》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第十六条“第一款：建设单位收到建设工程竣工报告后，应当组织设计、施工、工程监理等有关单位进行竣工。第三款建设工程经验收合格的，方可交付使用。”的规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定，已构成违法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133" w:afterAutospacing="0"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根据你单位的违法事实、性质、情节和社会危害程度和相关证据，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参照《&lt;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建设工程质量管理条例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&gt;行政处罚裁量标准》第五条，处罚依据：“《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建设工程质量管理条例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》第五十八条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违反本条例规定，建设单位有下列行为之一的，责令改正，处工程合同价款2%以上4%以下的罚款;造成损失的，依法承担赔偿责任;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(一)未组织竣工验收，擅自交付使用的。”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违法行为情形和处罚标准：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1.轻微违法行为的表现情形：市政工程属于小型工程的；</w:t>
      </w:r>
    </w:p>
    <w:p>
      <w:pPr>
        <w:spacing w:line="57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其他涉案工程面积20000</w:t>
      </w:r>
      <w:r>
        <w:rPr>
          <w:rFonts w:hint="eastAsia" w:ascii="仿宋_GB2312" w:hAnsi="宋体" w:cs="宋体"/>
          <w:sz w:val="32"/>
          <w:szCs w:val="32"/>
          <w:lang w:eastAsia="zh-CN"/>
        </w:rPr>
        <w:t>㎡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以下的。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处罚标准：责令改正，处工程合同价款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2%以上2.5%以下的罚款。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鉴于你单位经责令后立即进行整改。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根据你单位的违法事实、性质、情节和社会危害程度，确认违法行为等次属于轻微。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建设工程质量管理条例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》第五十八条：“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违反本条例规定，建设单位有下列行为之一的，责令改正，处工程合同价款2%以上4%以下的罚款;造成损失的，依法承担赔偿责任;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(一)未组织竣工验收，擅自交付使用的。”规定。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决定对你单位作出如下行政处罚：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罚款陆仟陆佰柒拾元贰角（</w:t>
      </w:r>
      <w:r>
        <w:rPr>
          <w:rFonts w:hint="eastAsia" w:ascii="宋体" w:hAnsi="宋体" w:eastAsia="仿宋_GB2312" w:cs="宋体"/>
          <w:color w:val="000000"/>
          <w:sz w:val="32"/>
          <w:szCs w:val="32"/>
          <w:lang w:eastAsia="zh-CN"/>
        </w:rPr>
        <w:t>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6670.2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你单位应当自收到本决定书之日起15日内将罚款缴至非税收入财政专户。逾期不缴纳罚款的，本机关将根据《中华人民共和国行政处罚法》第七十二条的规定，每日按罚款数额的百分之三加处罚款。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你单位如不服本处罚决定，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可以自收到本决定书之日起六十日内依法向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洛阳市人民政府申请行政复议；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也可以自收到本决定书之日起六个月内依法向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洛龙区人民法院起诉，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逾期不申请行政复议，也不提起行政诉讼，又不履行本行政处罚决定的，本机关将依法申请人民法院强制执行。</w:t>
      </w: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50" w:lineRule="exact"/>
        <w:ind w:right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RchDg7SIzfW3LVp5kiPrrOBZYlU=" w:salt="CcMbUSC+3FtwXho5XLjwm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163"/>
    <w:rsid w:val="003F1B30"/>
    <w:rsid w:val="00723163"/>
    <w:rsid w:val="37C971D0"/>
    <w:rsid w:val="3ED71A40"/>
    <w:rsid w:val="3F6FAD14"/>
    <w:rsid w:val="3FF321C9"/>
    <w:rsid w:val="43FE43D6"/>
    <w:rsid w:val="47FD0409"/>
    <w:rsid w:val="5FFC43FC"/>
    <w:rsid w:val="AFDC8AC7"/>
    <w:rsid w:val="E7F6FF7C"/>
    <w:rsid w:val="F5FE1701"/>
    <w:rsid w:val="FFB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locked/>
    <w:uiPriority w:val="1"/>
    <w:pPr>
      <w:ind w:left="108"/>
    </w:pPr>
    <w:rPr>
      <w:sz w:val="28"/>
      <w:szCs w:val="28"/>
    </w:rPr>
  </w:style>
  <w:style w:type="paragraph" w:styleId="3">
    <w:name w:val="footer"/>
    <w:basedOn w:val="1"/>
    <w:link w:val="9"/>
    <w:semiHidden/>
    <w:unhideWhenUsed/>
    <w:qFormat/>
    <w:lock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8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Normal (Web)"/>
    <w:basedOn w:val="1"/>
    <w:qFormat/>
    <w:lock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1"/>
    <w:rPr>
      <w:rFonts w:ascii="仿宋" w:hAnsi="仿宋" w:eastAsia="仿宋" w:cs="仿宋"/>
      <w:kern w:val="0"/>
      <w:sz w:val="28"/>
      <w:szCs w:val="28"/>
      <w:lang w:eastAsia="en-US"/>
    </w:rPr>
  </w:style>
  <w:style w:type="paragraph" w:customStyle="1" w:styleId="11">
    <w:name w:val="CM21"/>
    <w:basedOn w:val="1"/>
    <w:next w:val="1"/>
    <w:unhideWhenUsed/>
    <w:qFormat/>
    <w:locked/>
    <w:uiPriority w:val="99"/>
    <w:pPr>
      <w:adjustRightInd w:val="0"/>
      <w:spacing w:line="520" w:lineRule="atLeast"/>
    </w:pPr>
    <w:rPr>
      <w:rFonts w:hint="eastAsia" w:ascii="微软雅黑" w:hAnsi="微软雅黑" w:eastAsia="微软雅黑" w:cs="Times New Roman"/>
      <w:color w:val="000000"/>
      <w:sz w:val="24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</Words>
  <Characters>1263</Characters>
  <Lines>10</Lines>
  <Paragraphs>2</Paragraphs>
  <TotalTime>5</TotalTime>
  <ScaleCrop>false</ScaleCrop>
  <LinksUpToDate>false</LinksUpToDate>
  <CharactersWithSpaces>1482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2023-01-29T08:52:00Z</dcterms:created>
  <dc:creator>Admin</dc:creator>
  <cp:lastModifiedBy>greatwall</cp:lastModifiedBy>
  <dcterms:modified xsi:type="dcterms:W3CDTF">2023-01-29T16:04:43Z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